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overflowPunct/>
        <w:spacing w:line="600" w:lineRule="exact"/>
        <w:ind w:firstLineChars="0" w:firstLine="0"/>
        <w:rPr>
          <w:rFonts w:ascii="Times New Roman" w:eastAsia="方正小标宋_GBK" w:cs="方正小标宋_GBK" w:hAnsi="Times New Roman" w:hint="eastAsia"/>
          <w:sz w:val="28"/>
          <w:szCs w:val="28"/>
          <w:lang w:val="en-US" w:eastAsia="zh-CN"/>
        </w:rPr>
      </w:pPr>
      <w:r>
        <w:rPr>
          <w:rFonts w:ascii="Times New Roman" w:eastAsia="方正黑体_GBK" w:cs="方正黑体_GBK" w:hAnsi="Times New Roman" w:hint="eastAsia"/>
          <w:sz w:val="32"/>
          <w:szCs w:val="32"/>
          <w:lang w:val="en-US" w:eastAsia="zh-CN"/>
        </w:rPr>
        <w:t>附件</w:t>
      </w:r>
    </w:p>
    <w:p>
      <w:pPr>
        <w:overflowPunct w:val="0"/>
        <w:spacing w:line="580" w:lineRule="exact"/>
        <w:ind w:firstLineChars="0" w:firstLine="0"/>
        <w:jc w:val="center"/>
        <w:rPr>
          <w:rFonts w:ascii="Times New Roman" w:eastAsia="方正小标宋_GBK" w:cs="方正小标宋_GBK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方正小标宋_GBK" w:hAnsi="Times New Roman"/>
          <w:sz w:val="44"/>
          <w:szCs w:val="44"/>
          <w:lang w:val="en-US" w:eastAsia="zh-CN"/>
        </w:rPr>
        <w:t>完善重庆市</w:t>
      </w: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城市轨道交通票价机制配套优惠</w:t>
      </w:r>
    </w:p>
    <w:p>
      <w:pPr>
        <w:overflowPunct w:val="0"/>
        <w:spacing w:line="580" w:lineRule="exact"/>
        <w:ind w:firstLineChars="0" w:firstLine="0"/>
        <w:jc w:val="center"/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</w:rPr>
        <w:t>细则</w:t>
      </w:r>
    </w:p>
    <w:p>
      <w:pPr>
        <w:overflowPunct w:val="0"/>
        <w:spacing w:line="240" w:lineRule="auto"/>
        <w:ind w:firstLineChars="200" w:firstLine="632"/>
        <w:rPr>
          <w:rFonts w:ascii="Times New Roman" w:eastAsia="方正仿宋_GBK" w:cs="Times New Roman" w:hAnsi="Times New Roman"/>
          <w:sz w:val="32"/>
          <w:szCs w:val="32"/>
          <w:highlight w:val="auto"/>
        </w:rPr>
      </w:pPr>
    </w:p>
    <w:p>
      <w:pPr>
        <w:overflowPunct w:val="0"/>
        <w:autoSpaceDE/>
        <w:autoSpaceDN/>
        <w:adjustRightInd/>
        <w:spacing w:line="560" w:lineRule="exact"/>
        <w:ind w:left="0" w:firstLineChars="200" w:firstLine="632"/>
        <w:rPr>
          <w:rFonts w:cs="Times New Roman" w:hint="eastAsia"/>
          <w:b w:val="0"/>
          <w:bCs w:val="0"/>
          <w:color w:val="auto"/>
          <w:kern w:val="2"/>
          <w:sz w:val="32"/>
          <w:szCs w:val="32"/>
          <w:lang w:val="en-US" w:eastAsia="zh-CN"/>
          <w:highlight w:val="auto"/>
        </w:rPr>
      </w:pPr>
      <w:r>
        <w:rPr>
          <w:rFonts w:eastAsia="方正仿宋_GBK" w:cs="Times New Roman" w:hint="eastAsia"/>
          <w:sz w:val="32"/>
          <w:szCs w:val="32"/>
          <w:lang w:val="en-US" w:eastAsia="zh-CN"/>
          <w:highlight w:val="auto"/>
        </w:rPr>
        <w:t>一、</w:t>
      </w:r>
      <w:r>
        <w:rPr>
          <w:rFonts w:cs="Times New Roman" w:hint="eastAsia"/>
          <w:b w:val="0"/>
          <w:bCs w:val="0"/>
          <w:color w:val="auto"/>
          <w:kern w:val="2"/>
          <w:sz w:val="32"/>
          <w:szCs w:val="32"/>
          <w:lang w:val="en-US" w:eastAsia="zh-CN"/>
          <w:highlight w:val="auto"/>
        </w:rPr>
        <w:t>自然月累计优惠、新增的32次票、工作日7点前进站优惠、“常乘客”优惠4类优惠措施仅限城市轨道交通范围内使用（不含</w:t>
      </w:r>
      <w:r>
        <w:rPr>
          <w:rFonts w:ascii="Times New Roman" w:eastAsia="方正仿宋_GBK" w:cs="方正仿宋_GBK" w:hAnsi="Times New Roman" w:hint="eastAsia"/>
          <w:b w:val="0"/>
          <w:bCs/>
          <w:color w:val="auto"/>
          <w:kern w:val="0"/>
          <w:sz w:val="32"/>
          <w:szCs w:val="32"/>
          <w:lang w:val="en-US" w:eastAsia="zh-CN" w:bidi="ar-SA"/>
          <w:highlight w:val="auto"/>
        </w:rPr>
        <w:t>江跳线、璧铜线</w:t>
      </w:r>
      <w:r>
        <w:rPr>
          <w:rFonts w:eastAsia="方正仿宋_GBK" w:cs="方正仿宋_GBK" w:hint="eastAsia"/>
          <w:b w:val="0"/>
          <w:bCs/>
          <w:color w:val="auto"/>
          <w:kern w:val="0"/>
          <w:sz w:val="32"/>
          <w:szCs w:val="32"/>
          <w:lang w:val="en-US" w:eastAsia="zh-CN" w:bidi="ar-SA"/>
          <w:highlight w:val="auto"/>
        </w:rPr>
        <w:t>等市</w:t>
      </w:r>
      <w:r>
        <w:rPr>
          <w:rFonts w:ascii="Times New Roman" w:eastAsia="方正仿宋_GBK" w:cs="方正仿宋_GBK" w:hAnsi="Times New Roman" w:hint="eastAsia"/>
          <w:b w:val="0"/>
          <w:bCs/>
          <w:color w:val="auto"/>
          <w:kern w:val="0"/>
          <w:sz w:val="32"/>
          <w:szCs w:val="32"/>
          <w:lang w:val="en-US" w:eastAsia="zh-CN" w:bidi="ar-SA"/>
          <w:highlight w:val="auto"/>
        </w:rPr>
        <w:t>郊铁路</w:t>
      </w:r>
      <w:r>
        <w:rPr>
          <w:rFonts w:eastAsia="方正仿宋_GBK" w:cs="方正仿宋_GBK" w:hint="eastAsia"/>
          <w:b w:val="0"/>
          <w:bCs/>
          <w:color w:val="auto"/>
          <w:kern w:val="0"/>
          <w:sz w:val="32"/>
          <w:szCs w:val="32"/>
          <w:lang w:val="en-US" w:eastAsia="zh-CN" w:bidi="ar-SA"/>
          <w:highlight w:val="auto"/>
        </w:rPr>
        <w:t>线路</w:t>
      </w:r>
      <w:r>
        <w:rPr>
          <w:rFonts w:cs="Times New Roman" w:hint="eastAsia"/>
          <w:b w:val="0"/>
          <w:bCs w:val="0"/>
          <w:color w:val="auto"/>
          <w:kern w:val="2"/>
          <w:sz w:val="32"/>
          <w:szCs w:val="32"/>
          <w:lang w:val="en-US" w:eastAsia="zh-CN"/>
          <w:highlight w:val="auto"/>
        </w:rPr>
        <w:t>）。</w:t>
      </w:r>
    </w:p>
    <w:p>
      <w:pPr>
        <w:overflowPunct w:val="0"/>
        <w:autoSpaceDE/>
        <w:autoSpaceDN/>
        <w:adjustRightInd/>
        <w:spacing w:line="560" w:lineRule="exact"/>
        <w:ind w:left="0" w:firstLineChars="200" w:firstLine="632"/>
        <w:textAlignment w:val="baseline"/>
        <w:rPr>
          <w:rFonts w:cs="Times New Roman" w:hint="eastAsia"/>
          <w:b w:val="0"/>
          <w:bCs w:val="0"/>
          <w:color w:val="auto"/>
          <w:kern w:val="2"/>
          <w:sz w:val="32"/>
          <w:szCs w:val="32"/>
          <w:lang w:val="en-US" w:eastAsia="zh-CN"/>
          <w:highlight w:val="auto"/>
        </w:rPr>
      </w:pPr>
      <w:r>
        <w:rPr>
          <w:rFonts w:cs="方正仿宋_GBK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二、</w:t>
      </w:r>
      <w:r>
        <w:rPr>
          <w:rFonts w:ascii="Times New Roman" w:cs="方正仿宋_GBK" w:hAnsi="Times New Roman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自然月</w:t>
      </w:r>
      <w:r>
        <w:rPr>
          <w:rFonts w:cs="方正仿宋_GBK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累计优惠</w:t>
      </w:r>
      <w:r>
        <w:rPr>
          <w:rFonts w:ascii="Times New Roman" w:cs="方正仿宋_GBK" w:hAnsi="Times New Roman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需使用同一</w:t>
      </w:r>
      <w:r>
        <w:rPr>
          <w:rFonts w:cs="方正仿宋_GBK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张畅通卡或同一账号“渝畅行”码，</w:t>
      </w:r>
      <w:r>
        <w:rPr>
          <w:rFonts w:ascii="Times New Roman" w:cs="方正仿宋_GBK" w:hAnsi="Times New Roman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畅通卡与</w:t>
      </w:r>
      <w:r>
        <w:rPr>
          <w:rFonts w:cs="方正仿宋_GBK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“渝畅行”</w:t>
      </w:r>
      <w:r>
        <w:rPr>
          <w:rFonts w:ascii="Times New Roman" w:cs="方正仿宋_GBK" w:hAnsi="Times New Roman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码</w:t>
      </w:r>
      <w:r>
        <w:rPr>
          <w:rFonts w:cs="方正仿宋_GBK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消费</w:t>
      </w:r>
      <w:r>
        <w:rPr>
          <w:rFonts w:ascii="Times New Roman" w:cs="方正仿宋_GBK" w:hAnsi="Times New Roman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不可叠加累计</w:t>
      </w:r>
      <w:r>
        <w:rPr>
          <w:rFonts w:ascii="Times New Roman" w:cs="方正仿宋_GBK" w:hAnsi="Times New Roman" w:hint="eastAsia"/>
          <w:b w:val="0"/>
          <w:bCs/>
          <w:color w:val="auto"/>
          <w:sz w:val="32"/>
          <w:szCs w:val="32"/>
          <w:lang w:eastAsia="zh-CN"/>
          <w:highlight w:val="auto"/>
        </w:rPr>
        <w:t>。</w:t>
      </w:r>
    </w:p>
    <w:p>
      <w:pPr>
        <w:overflowPunct w:val="0"/>
        <w:autoSpaceDE/>
        <w:autoSpaceDN/>
        <w:adjustRightInd/>
        <w:spacing w:line="560" w:lineRule="exact"/>
        <w:ind w:left="0" w:firstLineChars="200" w:firstLine="632"/>
        <w:rPr>
          <w:rFonts w:cs="Times New Roman"/>
          <w:b w:val="0"/>
          <w:bCs w:val="0"/>
          <w:color w:val="auto"/>
          <w:kern w:val="2"/>
          <w:sz w:val="32"/>
          <w:szCs w:val="32"/>
          <w:lang w:val="en-US" w:eastAsia="zh-CN"/>
          <w:highlight w:val="auto"/>
        </w:rPr>
      </w:pP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三、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同时满足多个优惠条件时</w:t>
      </w:r>
      <w:r>
        <w:rPr>
          <w:rFonts w:cs="Times New Roman" w:hint="eastAsia"/>
          <w:kern w:val="2"/>
          <w:sz w:val="32"/>
          <w:szCs w:val="32"/>
          <w:lang w:eastAsia="zh-CN"/>
          <w:highlight w:val="auto"/>
        </w:rPr>
        <w:t>（</w:t>
      </w: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如</w:t>
      </w:r>
      <w:r>
        <w:rPr>
          <w:rFonts w:cs="Times New Roman" w:hint="eastAsia"/>
          <w:kern w:val="2"/>
          <w:sz w:val="32"/>
          <w:szCs w:val="32"/>
          <w:lang w:eastAsia="zh-CN"/>
          <w:highlight w:val="auto"/>
        </w:rPr>
        <w:t>“</w:t>
      </w: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公共交通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一小时免费</w:t>
      </w: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·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  <w:highlight w:val="auto"/>
        </w:rPr>
        <w:t>优惠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换乘</w:t>
      </w:r>
      <w:r>
        <w:rPr>
          <w:rFonts w:cs="Times New Roman" w:hint="eastAsia"/>
          <w:kern w:val="2"/>
          <w:sz w:val="32"/>
          <w:szCs w:val="32"/>
          <w:lang w:eastAsia="zh-CN"/>
          <w:highlight w:val="auto"/>
        </w:rPr>
        <w:t>”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、</w:t>
      </w:r>
      <w:r>
        <w:rPr>
          <w:rFonts w:cs="Times New Roman" w:hint="eastAsia"/>
          <w:color w:val="auto"/>
          <w:kern w:val="2"/>
          <w:sz w:val="32"/>
          <w:szCs w:val="32"/>
          <w:lang w:val="en-US" w:eastAsia="zh-CN"/>
          <w:highlight w:val="auto"/>
        </w:rPr>
        <w:t>自然月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highlight w:val="auto"/>
        </w:rPr>
        <w:t>累计消费优惠、</w:t>
      </w:r>
      <w:r>
        <w:rPr>
          <w:rFonts w:cs="Times New Roman" w:hint="eastAsia"/>
          <w:color w:val="auto"/>
          <w:kern w:val="2"/>
          <w:sz w:val="32"/>
          <w:szCs w:val="32"/>
          <w:lang w:val="en-US" w:eastAsia="zh-CN"/>
          <w:highlight w:val="auto"/>
        </w:rPr>
        <w:t>工作日7点前进站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highlight w:val="auto"/>
        </w:rPr>
        <w:t>优惠</w:t>
      </w:r>
      <w:r>
        <w:rPr>
          <w:rFonts w:cs="Times New Roman" w:hint="eastAsia"/>
          <w:color w:val="auto"/>
          <w:kern w:val="2"/>
          <w:sz w:val="32"/>
          <w:szCs w:val="32"/>
          <w:lang w:eastAsia="zh-CN"/>
          <w:highlight w:val="auto"/>
        </w:rPr>
        <w:t>）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highlight w:val="auto"/>
        </w:rPr>
        <w:t>，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/>
          <w:highlight w:val="auto"/>
        </w:rPr>
        <w:t>优惠不同时叠加，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highlight w:val="auto"/>
        </w:rPr>
        <w:t>按</w:t>
      </w:r>
      <w:r>
        <w:rPr>
          <w:rFonts w:cs="Times New Roman" w:hint="eastAsia"/>
          <w:color w:val="auto"/>
          <w:kern w:val="2"/>
          <w:sz w:val="32"/>
          <w:szCs w:val="32"/>
          <w:lang w:val="en-US" w:eastAsia="zh-CN"/>
          <w:highlight w:val="auto"/>
        </w:rPr>
        <w:t>最高优惠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/>
          <w:highlight w:val="auto"/>
        </w:rPr>
        <w:t>计费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highlight w:val="auto"/>
        </w:rPr>
        <w:t>。</w:t>
      </w:r>
    </w:p>
    <w:p>
      <w:pPr>
        <w:overflowPunct w:val="0"/>
        <w:autoSpaceDE/>
        <w:autoSpaceDN/>
        <w:adjustRightInd/>
        <w:spacing w:line="560" w:lineRule="exact"/>
        <w:ind w:left="0" w:firstLineChars="200" w:firstLine="632"/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</w:pPr>
      <w:r>
        <w:rPr>
          <w:rFonts w:cs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四、</w:t>
      </w:r>
      <w:r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自然月累计优惠以每月1日</w:t>
      </w:r>
      <w:r>
        <w:rPr>
          <w:rFonts w:cs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开班时间</w:t>
      </w:r>
      <w:r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为分界</w:t>
      </w:r>
      <w:r>
        <w:rPr>
          <w:rFonts w:cs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点</w:t>
      </w:r>
      <w:r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，</w:t>
      </w:r>
      <w:r>
        <w:rPr>
          <w:rFonts w:cs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开班</w:t>
      </w:r>
      <w:r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之前的消费金额累计至上月，之后的消费金额累计至</w:t>
      </w:r>
      <w:r>
        <w:rPr>
          <w:rFonts w:cs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本</w:t>
      </w:r>
      <w:r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月。</w:t>
      </w:r>
    </w:p>
    <w:p>
      <w:pPr>
        <w:overflowPunct w:val="0"/>
        <w:autoSpaceDE/>
        <w:autoSpaceDN/>
        <w:adjustRightInd/>
        <w:spacing w:line="560" w:lineRule="exact"/>
        <w:ind w:left="0" w:firstLineChars="200" w:firstLine="632"/>
        <w:rPr>
          <w:rFonts w:ascii="Times New Roman" w:eastAsia="方正仿宋_GBK" w:cs="Times New Roman" w:hAnsi="Times New Roman" w:hint="eastAsia"/>
          <w:b w:val="0"/>
          <w:bCs w:val="0"/>
          <w:color w:val="auto"/>
          <w:kern w:val="2"/>
          <w:sz w:val="32"/>
          <w:szCs w:val="32"/>
          <w:highlight w:val="auto"/>
        </w:rPr>
      </w:pPr>
      <w:r>
        <w:rPr>
          <w:rFonts w:cs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五、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kern w:val="2"/>
          <w:sz w:val="32"/>
          <w:szCs w:val="32"/>
          <w:highlight w:val="auto"/>
        </w:rPr>
        <w:t>超时</w:t>
      </w:r>
      <w:r>
        <w:rPr>
          <w:rFonts w:cs="Times New Roman" w:hint="eastAsia"/>
          <w:b w:val="0"/>
          <w:bCs w:val="0"/>
          <w:color w:val="auto"/>
          <w:kern w:val="2"/>
          <w:sz w:val="32"/>
          <w:szCs w:val="32"/>
          <w:lang w:val="en-US" w:eastAsia="zh-CN"/>
          <w:highlight w:val="auto"/>
        </w:rPr>
        <w:t>扣费</w:t>
      </w:r>
      <w:r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highlight w:val="auto"/>
        </w:rPr>
        <w:t>、</w:t>
      </w:r>
      <w:r>
        <w:rPr>
          <w:rFonts w:cs="Times New Roman" w:hint="eastAsia"/>
          <w:b w:val="0"/>
          <w:bCs w:val="0"/>
          <w:kern w:val="2"/>
          <w:sz w:val="32"/>
          <w:szCs w:val="32"/>
          <w:lang w:eastAsia="zh-CN"/>
          <w:highlight w:val="auto"/>
        </w:rPr>
        <w:t>“渝畅行”</w:t>
      </w:r>
      <w:r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highlight w:val="auto"/>
        </w:rPr>
        <w:t>码单边扣费</w:t>
      </w:r>
      <w:r>
        <w:rPr>
          <w:rFonts w:cs="Times New Roman" w:hint="eastAsia"/>
          <w:b w:val="0"/>
          <w:bCs w:val="0"/>
          <w:kern w:val="2"/>
          <w:sz w:val="32"/>
          <w:szCs w:val="32"/>
          <w:lang w:eastAsia="zh-CN"/>
          <w:highlight w:val="auto"/>
        </w:rPr>
        <w:t>、</w:t>
      </w:r>
      <w:r>
        <w:rPr>
          <w:rFonts w:cs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市郊铁路段车费</w:t>
      </w:r>
      <w:r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highlight w:val="auto"/>
        </w:rPr>
        <w:t>不纳入累计消费。</w:t>
      </w:r>
    </w:p>
    <w:p>
      <w:pPr>
        <w:overflowPunct w:val="0"/>
        <w:spacing w:line="560" w:lineRule="exact"/>
        <w:rPr>
          <w:rFonts w:cs="Times New Roman" w:hint="eastAsia"/>
          <w:kern w:val="2"/>
          <w:sz w:val="32"/>
          <w:szCs w:val="32"/>
          <w:lang w:eastAsia="zh-CN"/>
          <w:highlight w:val="auto"/>
        </w:rPr>
      </w:pPr>
      <w:r>
        <w:rPr>
          <w:rFonts w:cs="Times New Roman" w:hint="eastAsia"/>
          <w:b w:val="0"/>
          <w:bCs w:val="0"/>
          <w:kern w:val="2"/>
          <w:sz w:val="32"/>
          <w:szCs w:val="32"/>
          <w:lang w:val="en-US" w:eastAsia="zh-CN"/>
          <w:highlight w:val="auto"/>
        </w:rPr>
        <w:t>六、</w:t>
      </w:r>
      <w:r>
        <w:rPr>
          <w:rFonts w:ascii="Times New Roman" w:eastAsia="方正仿宋_GBK" w:cs="Times New Roman" w:hAnsi="Times New Roman" w:hint="eastAsia"/>
          <w:b w:val="0"/>
          <w:bCs w:val="0"/>
          <w:kern w:val="2"/>
          <w:sz w:val="32"/>
          <w:szCs w:val="32"/>
          <w:highlight w:val="auto"/>
        </w:rPr>
        <w:t>乘客持畅通卡或</w:t>
      </w:r>
      <w:r>
        <w:rPr>
          <w:rFonts w:cs="Times New Roman" w:hint="eastAsia"/>
          <w:kern w:val="2"/>
          <w:sz w:val="32"/>
          <w:szCs w:val="32"/>
          <w:lang w:eastAsia="zh-CN"/>
          <w:highlight w:val="auto"/>
        </w:rPr>
        <w:t>“渝畅行”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码</w:t>
      </w:r>
      <w:r>
        <w:rPr>
          <w:rFonts w:cs="Times New Roman" w:hint="eastAsia"/>
          <w:kern w:val="2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工作日7</w:t>
      </w: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点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前在城市轨道交通车站进站</w:t>
      </w:r>
      <w:r>
        <w:rPr>
          <w:rFonts w:cs="Times New Roman" w:hint="eastAsia"/>
          <w:kern w:val="2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可享城市轨道交通线路</w:t>
      </w: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单程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票价</w:t>
      </w: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的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7折优惠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eastAsia="zh-CN"/>
          <w:highlight w:val="auto"/>
        </w:rPr>
        <w:t>；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  <w:highlight w:val="auto"/>
        </w:rPr>
        <w:t>在市郊铁路车站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进站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  <w:highlight w:val="auto"/>
        </w:rPr>
        <w:t>不享受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7折优惠</w:t>
      </w:r>
      <w:r>
        <w:rPr>
          <w:rFonts w:cs="Times New Roman" w:hint="eastAsia"/>
          <w:kern w:val="2"/>
          <w:sz w:val="32"/>
          <w:szCs w:val="32"/>
          <w:lang w:eastAsia="zh-CN"/>
          <w:highlight w:val="auto"/>
        </w:rPr>
        <w:t>。</w:t>
      </w:r>
    </w:p>
    <w:p>
      <w:pPr>
        <w:overflowPunct w:val="0"/>
        <w:autoSpaceDE/>
        <w:autoSpaceDN/>
        <w:adjustRightInd/>
        <w:spacing w:line="560" w:lineRule="exact"/>
        <w:ind w:left="0" w:firstLineChars="200" w:firstLine="632"/>
        <w:textAlignment w:val="baseline"/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</w:pPr>
      <w:r>
        <w:rPr>
          <w:rFonts w:cs="方正仿宋_GBK" w:hint="eastAsia"/>
          <w:b w:val="0"/>
          <w:bCs/>
          <w:color w:val="auto"/>
          <w:sz w:val="32"/>
          <w:szCs w:val="32"/>
          <w:lang w:val="en-US" w:eastAsia="zh-CN"/>
          <w:highlight w:val="auto"/>
        </w:rPr>
        <w:t>七、</w:t>
      </w: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持“渝畅行”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  <w:highlight w:val="auto"/>
        </w:rPr>
        <w:t>码</w:t>
      </w: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乘坐城市轨道交通，自然月内消费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  <w:highlight w:val="auto"/>
        </w:rPr>
        <w:t>第40、50、60次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highlight w:val="auto"/>
        </w:rPr>
        <w:t>全额减免</w:t>
      </w: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车费（不含市郊铁路段车费）。</w:t>
      </w:r>
    </w:p>
    <w:p>
      <w:pPr>
        <w:overflowPunct w:val="0"/>
        <w:spacing w:line="560" w:lineRule="exact"/>
        <w:ind w:left="0" w:firstLineChars="200" w:firstLine="632"/>
        <w:jc w:val="left"/>
        <w:textAlignment w:val="baseline"/>
      </w:pPr>
      <w:r>
        <w:rPr>
          <w:rFonts w:cs="Times New Roman" w:hint="eastAsia"/>
          <w:kern w:val="2"/>
          <w:sz w:val="32"/>
          <w:szCs w:val="32"/>
          <w:lang w:val="en-US" w:eastAsia="zh-CN"/>
          <w:highlight w:val="auto"/>
        </w:rPr>
        <w:t>八、新增32次计次票，有效期内在城市轨道交通线网内不限乘坐里程。</w:t>
      </w:r>
    </w:p>
    <w:sectPr>
      <w:footerReference w:type="default" r:id="rId2"/>
      <w:pgSz w:w="11906" w:h="16838"/>
      <w:pgMar w:top="2098" w:right="1531" w:bottom="1984" w:left="1531" w:header="851" w:footer="1417" w:gutter="0"/>
      <w:pgNumType/>
      <w:cols w:num="1" w:space="0"/>
      <w:rtlGutter/>
      <w:docGrid w:type="linesAndChars" w:linePitch="58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keepNext w:val="0"/>
      <w:keepLines w:val="0"/>
      <w:pageBreakBefore w:val="0"/>
      <w:widowControl w:val="0"/>
      <w:tabs>
        <w:tab w:val="clear" w:pos="4153"/>
        <w:tab w:val="right" w:pos="8306"/>
      </w:tabs>
      <w:kinsoku/>
      <w:wordWrap/>
      <w:overflowPunct/>
      <w:topLinePunct w:val="0"/>
      <w:autoSpaceDE/>
      <w:autoSpaceDN/>
      <w:adjustRightInd/>
      <w:snapToGrid w:val="0"/>
      <w:spacing w:line="300" w:lineRule="exact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59754"/>
              <wp:effectExtent l="0" t="0" r="0" b="0"/>
              <wp:wrapNone/>
              <wp:docPr id="2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5975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adjustRightInd/>
                            <w:snapToGrid w:val="0"/>
                            <w:spacing w:line="240" w:lineRule="atLeast"/>
                            <w:ind w:left="0" w:firstLineChars="0" w:firstLine="0"/>
                            <w:rPr>
                              <w:rFonts w:ascii="方正仿宋_GBK" w:eastAsia="方正仿宋_GBK" w:cs="方正仿宋_GBK" w:hAnsi="方正仿宋_GBK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cs="方正仿宋_GBK" w:hAnsi="方正仿宋_GBK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方正仿宋_GBK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仿宋_GBK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方正仿宋_GBK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cs="方正仿宋_GBK" w:hAnsi="方正仿宋_GBK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" o:spid="_x0000_s2" filled="f" stroked="f" strokeweight="0.5pt" style="position:absolute;margin-left:0.0pt;margin-top:0.0pt;width:49.0pt;height:20.453072pt;z-index:12;mso-position-horizontal:outside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adjustRightInd/>
                      <w:snapToGrid w:val="0"/>
                      <w:spacing w:line="240" w:lineRule="atLeast"/>
                      <w:ind w:left="0" w:firstLineChars="0" w:firstLine="0"/>
                      <w:rPr>
                        <w:rFonts w:ascii="方正仿宋_GBK" w:eastAsia="方正仿宋_GBK" w:cs="方正仿宋_GBK" w:hAnsi="方正仿宋_GBK" w:hint="eastAsia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cs="方正仿宋_GBK" w:hAnsi="方正仿宋_GBK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方正仿宋_GBK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仿宋_GBK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方正仿宋_GBK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cs="方正仿宋_GBK" w:hAnsi="方正仿宋_GBK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579" w:lineRule="exact"/>
      <w:ind w:firstLineChars="200" w:firstLine="200"/>
      <w:jc w:val="both"/>
    </w:pPr>
    <w:rPr>
      <w:rFonts w:ascii="Times New Roman" w:eastAsia="方正仿宋_GBK" w:cs="Arial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方正仿宋_GBK" w:cs="Arial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方正仿宋_GBK" w:cs="Arial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widowControl w:val="0"/>
      <w:tabs>
        <w:tab w:val="center" w:pos="4153"/>
        <w:tab w:val="right" w:pos="8306"/>
      </w:tabs>
      <w:snapToGrid w:val="0"/>
      <w:spacing w:line="579" w:lineRule="exact"/>
      <w:ind w:firstLineChars="200" w:firstLine="200"/>
      <w:jc w:val="left"/>
    </w:pPr>
    <w:rPr>
      <w:rFonts w:ascii="Times New Roman" w:eastAsia="方正仿宋_GBK" w:cs="Arial" w:hAnsi="Times New Roman"/>
      <w:kern w:val="2"/>
      <w:sz w:val="18"/>
      <w:szCs w:val="32"/>
      <w:lang w:val="en-US" w:eastAsia="zh-CN" w:bidi="ar-SA"/>
    </w:rPr>
  </w:style>
  <w:style w:type="paragraph" w:styleId="1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D318AE09-92C8-4741-9C9C-BC3FABEECFA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Yozo_Office9.0.4881.102ZH</Application>
  <Pages>2</Pages>
  <Words>0</Words>
  <Characters>350</Characters>
  <Lines>0</Lines>
  <Paragraphs>12</Paragraphs>
  <CharactersWithSpaces>467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易姿颖</dc:creator>
  <cp:lastModifiedBy>易姿颖</cp:lastModifiedBy>
  <cp:revision>1</cp:revision>
  <dcterms:created xsi:type="dcterms:W3CDTF">2025-07-25T09:18:15Z</dcterms:created>
  <dcterms:modified xsi:type="dcterms:W3CDTF">2025-07-25T10:25:48Z</dcterms:modified>
</cp:coreProperties>
</file>